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lang w:val="en-US" w:eastAsia="zh-CN"/>
        </w:rPr>
        <w:t>84 2025年新乡市电动</w:t>
      </w:r>
      <w:r>
        <w:rPr>
          <w:rFonts w:hint="eastAsia" w:ascii="方正小标宋简体" w:hAnsi="方正小标宋简体" w:eastAsia="方正小标宋简体" w:cs="方正小标宋简体"/>
          <w:color w:val="000000"/>
          <w:sz w:val="44"/>
          <w:szCs w:val="44"/>
          <w:lang w:eastAsia="zh-CN"/>
        </w:rPr>
        <w:t>三轮摩托</w:t>
      </w:r>
      <w:r>
        <w:rPr>
          <w:rFonts w:hint="eastAsia" w:ascii="方正小标宋简体" w:hAnsi="方正小标宋简体" w:eastAsia="方正小标宋简体" w:cs="方正小标宋简体"/>
          <w:color w:val="000000"/>
          <w:sz w:val="44"/>
          <w:szCs w:val="44"/>
        </w:rPr>
        <w:t>车产品质量</w:t>
      </w:r>
    </w:p>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监督抽查实施细则</w:t>
      </w:r>
    </w:p>
    <w:p>
      <w:pPr>
        <w:spacing w:line="560" w:lineRule="exact"/>
        <w:ind w:firstLine="640" w:firstLineChars="200"/>
        <w:rPr>
          <w:rFonts w:hint="eastAsia" w:ascii="仿宋_GB2312" w:hAnsi="方正仿宋_GBK" w:eastAsia="仿宋_GB2312" w:cs="方正仿宋_GBK"/>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olor w:val="000000"/>
          <w:sz w:val="28"/>
          <w:szCs w:val="28"/>
        </w:rPr>
      </w:pPr>
      <w:r>
        <w:rPr>
          <w:rFonts w:ascii="黑体" w:hAnsi="黑体" w:eastAsia="黑体"/>
          <w:color w:val="000000"/>
          <w:sz w:val="28"/>
          <w:szCs w:val="28"/>
        </w:rPr>
        <w:t>1.</w:t>
      </w:r>
      <w:r>
        <w:rPr>
          <w:rFonts w:hint="eastAsia" w:ascii="黑体" w:hAnsi="黑体" w:eastAsia="黑体"/>
          <w:color w:val="000000"/>
          <w:sz w:val="28"/>
          <w:szCs w:val="28"/>
        </w:rPr>
        <w:t>抽样方法</w:t>
      </w:r>
    </w:p>
    <w:p>
      <w:pPr>
        <w:keepNext w:val="0"/>
        <w:keepLines w:val="0"/>
        <w:pageBreakBefore w:val="0"/>
        <w:widowControl w:val="0"/>
        <w:kinsoku/>
        <w:wordWrap/>
        <w:overflowPunct/>
        <w:topLinePunct w:val="0"/>
        <w:autoSpaceDE/>
        <w:autoSpaceDN/>
        <w:bidi w:val="0"/>
        <w:adjustRightInd/>
        <w:snapToGrid/>
        <w:spacing w:line="560" w:lineRule="exact"/>
        <w:ind w:firstLine="1120" w:firstLineChars="400"/>
        <w:textAlignment w:val="auto"/>
        <w:rPr>
          <w:rFonts w:hint="eastAsia" w:ascii="仿宋_GB2312" w:hAnsi="方正仿宋_GBK" w:eastAsia="仿宋_GB2312" w:cs="方正仿宋_GBK"/>
          <w:sz w:val="28"/>
          <w:szCs w:val="28"/>
        </w:rPr>
      </w:pPr>
      <w:r>
        <w:rPr>
          <w:rFonts w:hint="eastAsia" w:ascii="仿宋_GB2312" w:hAnsi="方正仿宋_GBK" w:eastAsia="仿宋_GB2312" w:cs="方正仿宋_GBK"/>
          <w:sz w:val="28"/>
          <w:szCs w:val="28"/>
        </w:rPr>
        <w:t>以随机抽样</w:t>
      </w:r>
      <w:r>
        <w:rPr>
          <w:rFonts w:hint="eastAsia" w:ascii="仿宋_GB2312" w:hAnsi="方正仿宋_GBK" w:eastAsia="仿宋_GB2312" w:cs="方正仿宋_GBK"/>
          <w:sz w:val="28"/>
          <w:szCs w:val="28"/>
          <w:lang w:val="en-US" w:eastAsia="zh-CN"/>
        </w:rPr>
        <w:t>的</w:t>
      </w:r>
      <w:r>
        <w:rPr>
          <w:rFonts w:hint="eastAsia" w:ascii="仿宋_GB2312" w:hAnsi="方正仿宋_GBK" w:eastAsia="仿宋_GB2312" w:cs="方正仿宋_GBK"/>
          <w:sz w:val="28"/>
          <w:szCs w:val="28"/>
        </w:rPr>
        <w:t>方式在被抽样生产者、销售者的待销产品中抽取。</w:t>
      </w:r>
    </w:p>
    <w:p>
      <w:pPr>
        <w:keepNext w:val="0"/>
        <w:keepLines w:val="0"/>
        <w:pageBreakBefore w:val="0"/>
        <w:widowControl w:val="0"/>
        <w:kinsoku/>
        <w:wordWrap/>
        <w:overflowPunct/>
        <w:topLinePunct w:val="0"/>
        <w:autoSpaceDE/>
        <w:autoSpaceDN/>
        <w:bidi w:val="0"/>
        <w:adjustRightInd/>
        <w:snapToGrid/>
        <w:spacing w:line="560" w:lineRule="exact"/>
        <w:ind w:firstLine="1120" w:firstLineChars="400"/>
        <w:textAlignment w:val="auto"/>
        <w:rPr>
          <w:rFonts w:hint="eastAsia" w:ascii="仿宋_GB2312" w:hAnsi="方正仿宋_GBK" w:eastAsia="仿宋_GB2312" w:cs="方正仿宋_GBK"/>
          <w:sz w:val="28"/>
          <w:szCs w:val="28"/>
        </w:rPr>
      </w:pPr>
      <w:r>
        <w:rPr>
          <w:rFonts w:hint="eastAsia" w:ascii="仿宋_GB2312" w:hAnsi="方正仿宋_GBK" w:eastAsia="仿宋_GB2312" w:cs="方正仿宋_GBK"/>
          <w:sz w:val="28"/>
          <w:szCs w:val="28"/>
        </w:rPr>
        <w:t>随机数一般可使用随机数表、随机数骰子或扑克牌等方法产生。</w:t>
      </w:r>
    </w:p>
    <w:p>
      <w:pPr>
        <w:keepNext w:val="0"/>
        <w:keepLines w:val="0"/>
        <w:pageBreakBefore w:val="0"/>
        <w:widowControl w:val="0"/>
        <w:kinsoku/>
        <w:wordWrap/>
        <w:overflowPunct/>
        <w:topLinePunct w:val="0"/>
        <w:autoSpaceDE/>
        <w:autoSpaceDN/>
        <w:bidi w:val="0"/>
        <w:adjustRightInd/>
        <w:snapToGrid/>
        <w:spacing w:line="560" w:lineRule="exact"/>
        <w:ind w:firstLine="1120" w:firstLineChars="400"/>
        <w:textAlignment w:val="auto"/>
        <w:rPr>
          <w:rFonts w:hint="default" w:ascii="仿宋_GB2312" w:hAnsi="方正仿宋_GBK" w:eastAsia="仿宋_GB2312" w:cs="方正仿宋_GBK"/>
          <w:sz w:val="28"/>
          <w:szCs w:val="28"/>
          <w:lang w:val="en-US" w:eastAsia="zh-CN"/>
        </w:rPr>
      </w:pPr>
      <w:r>
        <w:rPr>
          <w:rFonts w:hint="eastAsia" w:ascii="仿宋_GB2312" w:hAnsi="方正仿宋_GBK" w:eastAsia="仿宋_GB2312" w:cs="方正仿宋_GBK"/>
          <w:sz w:val="28"/>
          <w:szCs w:val="28"/>
          <w:lang w:val="en-US" w:eastAsia="zh-CN"/>
        </w:rPr>
        <w:t>每批次产品取样2台，其中1台作为检验样品，1台作为备用样品。</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Times New Roman"/>
          <w:color w:val="000000"/>
          <w:sz w:val="28"/>
          <w:szCs w:val="28"/>
        </w:rPr>
      </w:pPr>
      <w:r>
        <w:rPr>
          <w:rFonts w:ascii="黑体" w:hAnsi="黑体" w:eastAsia="黑体" w:cs="Times New Roman"/>
          <w:color w:val="000000"/>
          <w:sz w:val="28"/>
          <w:szCs w:val="28"/>
        </w:rPr>
        <w:t>2.</w:t>
      </w:r>
      <w:r>
        <w:rPr>
          <w:rFonts w:hint="eastAsia" w:ascii="黑体" w:hAnsi="黑体" w:eastAsia="黑体" w:cs="Times New Roman"/>
          <w:color w:val="000000"/>
          <w:sz w:val="28"/>
          <w:szCs w:val="28"/>
        </w:rPr>
        <w:t>检验依据</w:t>
      </w:r>
    </w:p>
    <w:p>
      <w:pPr>
        <w:pStyle w:val="29"/>
        <w:keepNext w:val="0"/>
        <w:keepLines w:val="0"/>
        <w:pageBreakBefore w:val="0"/>
        <w:widowControl w:val="0"/>
        <w:tabs>
          <w:tab w:val="clear" w:pos="840"/>
        </w:tabs>
        <w:kinsoku/>
        <w:wordWrap/>
        <w:overflowPunct/>
        <w:topLinePunct w:val="0"/>
        <w:autoSpaceDE/>
        <w:autoSpaceDN/>
        <w:bidi w:val="0"/>
        <w:adjustRightInd/>
        <w:snapToGrid/>
        <w:spacing w:before="156" w:beforeLines="50" w:after="156" w:afterLines="50" w:line="560" w:lineRule="exact"/>
        <w:ind w:left="0" w:firstLine="198"/>
        <w:jc w:val="center"/>
        <w:textAlignment w:val="auto"/>
        <w:rPr>
          <w:rFonts w:hint="default" w:ascii="仿宋_GB2312" w:hAnsi="Times New Roman" w:eastAsia="仿宋_GB2312"/>
          <w:b/>
          <w:bCs/>
          <w:color w:val="000000"/>
          <w:sz w:val="28"/>
          <w:szCs w:val="28"/>
          <w:lang w:val="en-US" w:eastAsia="zh-CN"/>
        </w:rPr>
      </w:pPr>
      <w:r>
        <w:rPr>
          <w:rFonts w:hint="eastAsia" w:ascii="仿宋_GB2312" w:hAnsi="Times New Roman" w:eastAsia="仿宋_GB2312"/>
          <w:b/>
          <w:bCs/>
          <w:color w:val="000000"/>
          <w:sz w:val="28"/>
          <w:szCs w:val="28"/>
        </w:rPr>
        <w:t>表</w:t>
      </w:r>
      <w:r>
        <w:rPr>
          <w:rFonts w:hint="eastAsia" w:ascii="仿宋_GB2312" w:hAnsi="Times New Roman" w:eastAsia="仿宋_GB2312"/>
          <w:b/>
          <w:bCs/>
          <w:color w:val="000000"/>
          <w:sz w:val="28"/>
          <w:szCs w:val="28"/>
          <w:lang w:val="en-US" w:eastAsia="zh-CN"/>
        </w:rPr>
        <w:t>2</w:t>
      </w:r>
      <w:r>
        <w:rPr>
          <w:rFonts w:hint="eastAsia" w:ascii="仿宋_GB2312" w:hAnsi="Times New Roman" w:eastAsia="仿宋_GB2312"/>
          <w:b/>
          <w:bCs/>
          <w:color w:val="000000"/>
          <w:sz w:val="28"/>
          <w:szCs w:val="28"/>
        </w:rPr>
        <w:t xml:space="preserve"> </w:t>
      </w:r>
      <w:r>
        <w:rPr>
          <w:rFonts w:hint="eastAsia" w:ascii="仿宋_GB2312" w:hAnsi="Times New Roman" w:eastAsia="仿宋_GB2312"/>
          <w:b/>
          <w:bCs/>
          <w:color w:val="000000"/>
          <w:sz w:val="28"/>
          <w:szCs w:val="28"/>
          <w:lang w:val="en-US" w:eastAsia="zh-CN"/>
        </w:rPr>
        <w:t>电动正三轮摩托车</w:t>
      </w:r>
    </w:p>
    <w:tbl>
      <w:tblPr>
        <w:tblStyle w:val="13"/>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885"/>
        <w:gridCol w:w="4305"/>
        <w:gridCol w:w="3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tblHeader/>
          <w:jc w:val="center"/>
        </w:trPr>
        <w:tc>
          <w:tcPr>
            <w:tcW w:w="485"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序号</w:t>
            </w:r>
          </w:p>
        </w:tc>
        <w:tc>
          <w:tcPr>
            <w:tcW w:w="2359"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检验项目</w:t>
            </w:r>
          </w:p>
        </w:tc>
        <w:tc>
          <w:tcPr>
            <w:tcW w:w="2154" w:type="pct"/>
            <w:noWrap w:val="0"/>
            <w:vAlign w:val="center"/>
          </w:tcPr>
          <w:p>
            <w:pPr>
              <w:adjustRightInd w:val="0"/>
              <w:snapToGrid w:val="0"/>
              <w:jc w:val="center"/>
              <w:rPr>
                <w:rFonts w:hint="eastAsia" w:ascii="仿宋_GB2312" w:hAnsi="Times New Roman" w:eastAsia="仿宋_GB2312"/>
                <w:sz w:val="24"/>
              </w:rPr>
            </w:pPr>
            <w:r>
              <w:rPr>
                <w:rFonts w:hint="eastAsia" w:ascii="仿宋_GB2312" w:hAnsi="Times New Roman" w:eastAsia="仿宋_GB2312"/>
                <w:color w:val="000000"/>
                <w:sz w:val="24"/>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1</w:t>
            </w:r>
          </w:p>
        </w:tc>
        <w:tc>
          <w:tcPr>
            <w:tcW w:w="2359"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安全性检查</w:t>
            </w:r>
          </w:p>
        </w:tc>
        <w:tc>
          <w:tcPr>
            <w:tcW w:w="2154"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GB24155-2020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2</w:t>
            </w:r>
          </w:p>
        </w:tc>
        <w:tc>
          <w:tcPr>
            <w:tcW w:w="2359"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外露可导电部件间的电位平衡</w:t>
            </w:r>
          </w:p>
        </w:tc>
        <w:tc>
          <w:tcPr>
            <w:tcW w:w="2154"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GB24155-2020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3</w:t>
            </w:r>
          </w:p>
        </w:tc>
        <w:tc>
          <w:tcPr>
            <w:tcW w:w="2359"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防水试验</w:t>
            </w:r>
          </w:p>
        </w:tc>
        <w:tc>
          <w:tcPr>
            <w:tcW w:w="2154"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GB24155-2020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4</w:t>
            </w:r>
          </w:p>
        </w:tc>
        <w:tc>
          <w:tcPr>
            <w:tcW w:w="2359"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耐电压</w:t>
            </w:r>
          </w:p>
        </w:tc>
        <w:tc>
          <w:tcPr>
            <w:tcW w:w="2154"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GB24155-2020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5</w:t>
            </w:r>
          </w:p>
        </w:tc>
        <w:tc>
          <w:tcPr>
            <w:tcW w:w="2359"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剩余电量显示</w:t>
            </w:r>
          </w:p>
        </w:tc>
        <w:tc>
          <w:tcPr>
            <w:tcW w:w="2154"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GB24155-2020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6</w:t>
            </w:r>
          </w:p>
        </w:tc>
        <w:tc>
          <w:tcPr>
            <w:tcW w:w="2359"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电动机过载性能</w:t>
            </w:r>
          </w:p>
        </w:tc>
        <w:tc>
          <w:tcPr>
            <w:tcW w:w="2154"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GB24155-2020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7</w:t>
            </w:r>
          </w:p>
        </w:tc>
        <w:tc>
          <w:tcPr>
            <w:tcW w:w="2359"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能量消耗率</w:t>
            </w:r>
          </w:p>
        </w:tc>
        <w:tc>
          <w:tcPr>
            <w:tcW w:w="2154"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GB/T24157-2017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8</w:t>
            </w:r>
          </w:p>
        </w:tc>
        <w:tc>
          <w:tcPr>
            <w:tcW w:w="2359"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续驶里程</w:t>
            </w:r>
          </w:p>
        </w:tc>
        <w:tc>
          <w:tcPr>
            <w:tcW w:w="2154"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GB/T24157-2017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9</w:t>
            </w:r>
          </w:p>
        </w:tc>
        <w:tc>
          <w:tcPr>
            <w:tcW w:w="2359"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剩余电量</w:t>
            </w:r>
          </w:p>
        </w:tc>
        <w:tc>
          <w:tcPr>
            <w:tcW w:w="2154"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GB/T24157-2017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10</w:t>
            </w:r>
          </w:p>
        </w:tc>
        <w:tc>
          <w:tcPr>
            <w:tcW w:w="2359"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车速表指示误差值</w:t>
            </w:r>
          </w:p>
        </w:tc>
        <w:tc>
          <w:tcPr>
            <w:tcW w:w="2154"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GB 7258-2017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11</w:t>
            </w:r>
          </w:p>
        </w:tc>
        <w:tc>
          <w:tcPr>
            <w:tcW w:w="2359"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车辆标志</w:t>
            </w:r>
          </w:p>
        </w:tc>
        <w:tc>
          <w:tcPr>
            <w:tcW w:w="2154"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GB 7258-2017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12</w:t>
            </w:r>
          </w:p>
        </w:tc>
        <w:tc>
          <w:tcPr>
            <w:tcW w:w="2359"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转向装置</w:t>
            </w:r>
          </w:p>
        </w:tc>
        <w:tc>
          <w:tcPr>
            <w:tcW w:w="2154"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GB 7258-2017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13</w:t>
            </w:r>
          </w:p>
        </w:tc>
        <w:tc>
          <w:tcPr>
            <w:tcW w:w="2359"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前照灯光束照射位置及发光强度</w:t>
            </w:r>
          </w:p>
        </w:tc>
        <w:tc>
          <w:tcPr>
            <w:tcW w:w="2154"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GB 7258-2017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14</w:t>
            </w:r>
          </w:p>
        </w:tc>
        <w:tc>
          <w:tcPr>
            <w:tcW w:w="2359"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车速受限车辆最高车速</w:t>
            </w:r>
          </w:p>
        </w:tc>
        <w:tc>
          <w:tcPr>
            <w:tcW w:w="2154"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GB 7258-2017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15</w:t>
            </w:r>
          </w:p>
        </w:tc>
        <w:tc>
          <w:tcPr>
            <w:tcW w:w="2359"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乘坐人数核定</w:t>
            </w:r>
          </w:p>
        </w:tc>
        <w:tc>
          <w:tcPr>
            <w:tcW w:w="2154"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GB 7258-2017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16</w:t>
            </w:r>
          </w:p>
        </w:tc>
        <w:tc>
          <w:tcPr>
            <w:tcW w:w="2359"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安全防护装置</w:t>
            </w:r>
          </w:p>
        </w:tc>
        <w:tc>
          <w:tcPr>
            <w:tcW w:w="2154"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GB 7258-2017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17</w:t>
            </w:r>
          </w:p>
        </w:tc>
        <w:tc>
          <w:tcPr>
            <w:tcW w:w="2359"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外廓尺寸</w:t>
            </w:r>
          </w:p>
        </w:tc>
        <w:tc>
          <w:tcPr>
            <w:tcW w:w="2154"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GB 7258-2017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18</w:t>
            </w:r>
          </w:p>
        </w:tc>
        <w:tc>
          <w:tcPr>
            <w:tcW w:w="2359"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三轮摩托车侧倾稳定角</w:t>
            </w:r>
          </w:p>
        </w:tc>
        <w:tc>
          <w:tcPr>
            <w:tcW w:w="2154"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GB 7258-2017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19</w:t>
            </w:r>
          </w:p>
        </w:tc>
        <w:tc>
          <w:tcPr>
            <w:tcW w:w="2359"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操纵件、指示器及信号装置的图形符号</w:t>
            </w:r>
          </w:p>
        </w:tc>
        <w:tc>
          <w:tcPr>
            <w:tcW w:w="2154"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GB 15365-2008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20</w:t>
            </w:r>
          </w:p>
        </w:tc>
        <w:tc>
          <w:tcPr>
            <w:tcW w:w="2359"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装于摩托车上喇叭的性能要求</w:t>
            </w:r>
          </w:p>
        </w:tc>
        <w:tc>
          <w:tcPr>
            <w:tcW w:w="2154"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GB 15742-2019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21</w:t>
            </w:r>
          </w:p>
        </w:tc>
        <w:tc>
          <w:tcPr>
            <w:tcW w:w="2359"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后视镜安装要求</w:t>
            </w:r>
          </w:p>
        </w:tc>
        <w:tc>
          <w:tcPr>
            <w:tcW w:w="2154"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GB 17352-2010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22</w:t>
            </w:r>
          </w:p>
        </w:tc>
        <w:tc>
          <w:tcPr>
            <w:tcW w:w="2359"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间接视野装置安装要求</w:t>
            </w:r>
          </w:p>
        </w:tc>
        <w:tc>
          <w:tcPr>
            <w:tcW w:w="2154"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仿宋_GB2312" w:eastAsia="仿宋_GB2312" w:cs="仿宋_GB2312"/>
                <w:kern w:val="2"/>
                <w:sz w:val="24"/>
                <w:szCs w:val="24"/>
              </w:rPr>
              <w:t>GB 15084-20</w:t>
            </w:r>
            <w:r>
              <w:rPr>
                <w:rFonts w:hint="eastAsia" w:ascii="仿宋_GB2312" w:hAnsi="仿宋_GB2312" w:eastAsia="仿宋_GB2312" w:cs="仿宋_GB2312"/>
                <w:kern w:val="2"/>
                <w:sz w:val="24"/>
                <w:szCs w:val="24"/>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23</w:t>
            </w:r>
          </w:p>
        </w:tc>
        <w:tc>
          <w:tcPr>
            <w:tcW w:w="2359"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防盗装置</w:t>
            </w:r>
          </w:p>
        </w:tc>
        <w:tc>
          <w:tcPr>
            <w:tcW w:w="2154"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GB 17353-2014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24</w:t>
            </w:r>
          </w:p>
        </w:tc>
        <w:tc>
          <w:tcPr>
            <w:tcW w:w="2359"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照明和光信号装置的安装</w:t>
            </w:r>
          </w:p>
        </w:tc>
        <w:tc>
          <w:tcPr>
            <w:tcW w:w="2154"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GB 18100.3-2010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25</w:t>
            </w:r>
          </w:p>
        </w:tc>
        <w:tc>
          <w:tcPr>
            <w:tcW w:w="2359"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外部凸出物</w:t>
            </w:r>
          </w:p>
        </w:tc>
        <w:tc>
          <w:tcPr>
            <w:tcW w:w="2154"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GB 20074-2017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26</w:t>
            </w:r>
          </w:p>
        </w:tc>
        <w:tc>
          <w:tcPr>
            <w:tcW w:w="2359"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制动性能</w:t>
            </w:r>
          </w:p>
        </w:tc>
        <w:tc>
          <w:tcPr>
            <w:tcW w:w="2154"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GB 20073-2018</w:t>
            </w:r>
          </w:p>
        </w:tc>
      </w:tr>
    </w:tbl>
    <w:p>
      <w:pPr>
        <w:pStyle w:val="29"/>
        <w:keepNext w:val="0"/>
        <w:keepLines w:val="0"/>
        <w:pageBreakBefore w:val="0"/>
        <w:widowControl w:val="0"/>
        <w:tabs>
          <w:tab w:val="clear" w:pos="840"/>
        </w:tabs>
        <w:kinsoku/>
        <w:wordWrap/>
        <w:overflowPunct/>
        <w:topLinePunct w:val="0"/>
        <w:autoSpaceDE/>
        <w:autoSpaceDN/>
        <w:bidi w:val="0"/>
        <w:adjustRightInd/>
        <w:snapToGrid/>
        <w:spacing w:before="156" w:beforeLines="50" w:after="156" w:afterLines="50" w:line="560" w:lineRule="exact"/>
        <w:ind w:left="0" w:firstLine="198"/>
        <w:jc w:val="center"/>
        <w:textAlignment w:val="auto"/>
        <w:rPr>
          <w:rFonts w:hint="eastAsia" w:ascii="仿宋_GB2312" w:hAnsi="方正仿宋_GBK" w:eastAsia="仿宋_GB2312" w:cs="方正仿宋_GBK"/>
          <w:sz w:val="28"/>
          <w:szCs w:val="28"/>
        </w:rPr>
      </w:pPr>
      <w:r>
        <w:rPr>
          <w:rFonts w:hint="eastAsia" w:ascii="仿宋_GB2312" w:hAnsi="Times New Roman" w:eastAsia="仿宋_GB2312"/>
          <w:b/>
          <w:bCs/>
          <w:color w:val="000000"/>
          <w:sz w:val="28"/>
          <w:szCs w:val="28"/>
        </w:rPr>
        <w:t>表</w:t>
      </w:r>
      <w:r>
        <w:rPr>
          <w:rFonts w:hint="eastAsia" w:ascii="仿宋_GB2312" w:hAnsi="Times New Roman" w:eastAsia="仿宋_GB2312"/>
          <w:b/>
          <w:bCs/>
          <w:color w:val="000000"/>
          <w:sz w:val="28"/>
          <w:szCs w:val="28"/>
          <w:lang w:val="en-US" w:eastAsia="zh-CN"/>
        </w:rPr>
        <w:t>3</w:t>
      </w:r>
      <w:r>
        <w:rPr>
          <w:rFonts w:hint="eastAsia" w:ascii="仿宋_GB2312" w:hAnsi="Times New Roman" w:eastAsia="仿宋_GB2312"/>
          <w:b/>
          <w:bCs/>
          <w:color w:val="000000"/>
          <w:sz w:val="28"/>
          <w:szCs w:val="28"/>
        </w:rPr>
        <w:t xml:space="preserve"> </w:t>
      </w:r>
      <w:r>
        <w:rPr>
          <w:rFonts w:hint="eastAsia" w:ascii="仿宋_GB2312" w:hAnsi="Times New Roman" w:eastAsia="仿宋_GB2312"/>
          <w:b/>
          <w:bCs/>
          <w:color w:val="000000"/>
          <w:sz w:val="28"/>
          <w:szCs w:val="28"/>
          <w:lang w:val="en-US" w:eastAsia="zh-CN"/>
        </w:rPr>
        <w:t>电动正三轮轻便摩托车</w:t>
      </w:r>
    </w:p>
    <w:tbl>
      <w:tblPr>
        <w:tblStyle w:val="13"/>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885"/>
        <w:gridCol w:w="4305"/>
        <w:gridCol w:w="3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tblHeader/>
          <w:jc w:val="center"/>
        </w:trPr>
        <w:tc>
          <w:tcPr>
            <w:tcW w:w="485"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序号</w:t>
            </w:r>
          </w:p>
        </w:tc>
        <w:tc>
          <w:tcPr>
            <w:tcW w:w="2359"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检验项目</w:t>
            </w:r>
          </w:p>
        </w:tc>
        <w:tc>
          <w:tcPr>
            <w:tcW w:w="2154" w:type="pct"/>
            <w:noWrap w:val="0"/>
            <w:vAlign w:val="center"/>
          </w:tcPr>
          <w:p>
            <w:pPr>
              <w:adjustRightInd w:val="0"/>
              <w:snapToGrid w:val="0"/>
              <w:jc w:val="center"/>
              <w:rPr>
                <w:rFonts w:hint="eastAsia" w:ascii="仿宋_GB2312" w:hAnsi="Times New Roman" w:eastAsia="仿宋_GB2312"/>
                <w:sz w:val="24"/>
              </w:rPr>
            </w:pPr>
            <w:r>
              <w:rPr>
                <w:rFonts w:hint="eastAsia" w:ascii="仿宋_GB2312" w:hAnsi="Times New Roman" w:eastAsia="仿宋_GB2312"/>
                <w:color w:val="000000"/>
                <w:sz w:val="24"/>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1</w:t>
            </w:r>
          </w:p>
        </w:tc>
        <w:tc>
          <w:tcPr>
            <w:tcW w:w="2359"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安全性检查</w:t>
            </w:r>
          </w:p>
        </w:tc>
        <w:tc>
          <w:tcPr>
            <w:tcW w:w="2154"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GB24155-2020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2</w:t>
            </w:r>
          </w:p>
        </w:tc>
        <w:tc>
          <w:tcPr>
            <w:tcW w:w="2359"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外露可导电部件间的电位平衡</w:t>
            </w:r>
          </w:p>
        </w:tc>
        <w:tc>
          <w:tcPr>
            <w:tcW w:w="2154"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GB24155-2020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3</w:t>
            </w:r>
          </w:p>
        </w:tc>
        <w:tc>
          <w:tcPr>
            <w:tcW w:w="2359"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防水试验</w:t>
            </w:r>
          </w:p>
        </w:tc>
        <w:tc>
          <w:tcPr>
            <w:tcW w:w="2154"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GB24155-2020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4</w:t>
            </w:r>
          </w:p>
        </w:tc>
        <w:tc>
          <w:tcPr>
            <w:tcW w:w="2359"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耐电压</w:t>
            </w:r>
          </w:p>
        </w:tc>
        <w:tc>
          <w:tcPr>
            <w:tcW w:w="2154"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GB24155-2020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5</w:t>
            </w:r>
          </w:p>
        </w:tc>
        <w:tc>
          <w:tcPr>
            <w:tcW w:w="2359"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剩余电量显示</w:t>
            </w:r>
          </w:p>
        </w:tc>
        <w:tc>
          <w:tcPr>
            <w:tcW w:w="2154"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GB24155-2020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6</w:t>
            </w:r>
          </w:p>
        </w:tc>
        <w:tc>
          <w:tcPr>
            <w:tcW w:w="2359"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电动机过载性能</w:t>
            </w:r>
          </w:p>
        </w:tc>
        <w:tc>
          <w:tcPr>
            <w:tcW w:w="2154"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GB24155-2020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7</w:t>
            </w:r>
          </w:p>
        </w:tc>
        <w:tc>
          <w:tcPr>
            <w:tcW w:w="2359"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能量消耗率</w:t>
            </w:r>
          </w:p>
        </w:tc>
        <w:tc>
          <w:tcPr>
            <w:tcW w:w="2154"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GB/T24157-2017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8</w:t>
            </w:r>
          </w:p>
        </w:tc>
        <w:tc>
          <w:tcPr>
            <w:tcW w:w="2359"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续驶里程</w:t>
            </w:r>
          </w:p>
        </w:tc>
        <w:tc>
          <w:tcPr>
            <w:tcW w:w="2154"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GB/T24157-2017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9</w:t>
            </w:r>
          </w:p>
        </w:tc>
        <w:tc>
          <w:tcPr>
            <w:tcW w:w="2359"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剩余电量</w:t>
            </w:r>
          </w:p>
        </w:tc>
        <w:tc>
          <w:tcPr>
            <w:tcW w:w="2154"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GB/T24157-2017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10</w:t>
            </w:r>
          </w:p>
        </w:tc>
        <w:tc>
          <w:tcPr>
            <w:tcW w:w="2359"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车速表指示误差值</w:t>
            </w:r>
          </w:p>
        </w:tc>
        <w:tc>
          <w:tcPr>
            <w:tcW w:w="2154"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GB 7258-2017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11</w:t>
            </w:r>
          </w:p>
        </w:tc>
        <w:tc>
          <w:tcPr>
            <w:tcW w:w="2359"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车辆标志</w:t>
            </w:r>
          </w:p>
        </w:tc>
        <w:tc>
          <w:tcPr>
            <w:tcW w:w="2154"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GB 7258-2017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12</w:t>
            </w:r>
          </w:p>
        </w:tc>
        <w:tc>
          <w:tcPr>
            <w:tcW w:w="2359"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转向装置</w:t>
            </w:r>
          </w:p>
        </w:tc>
        <w:tc>
          <w:tcPr>
            <w:tcW w:w="2154"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GB 7258-2017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13</w:t>
            </w:r>
          </w:p>
        </w:tc>
        <w:tc>
          <w:tcPr>
            <w:tcW w:w="2359"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前照灯光束照射位置及发光强度</w:t>
            </w:r>
          </w:p>
        </w:tc>
        <w:tc>
          <w:tcPr>
            <w:tcW w:w="2154"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GB 7258-2017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14</w:t>
            </w:r>
          </w:p>
        </w:tc>
        <w:tc>
          <w:tcPr>
            <w:tcW w:w="2359"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车速受限车辆最高车速</w:t>
            </w:r>
          </w:p>
        </w:tc>
        <w:tc>
          <w:tcPr>
            <w:tcW w:w="2154"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GB 7258-2017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15</w:t>
            </w:r>
          </w:p>
        </w:tc>
        <w:tc>
          <w:tcPr>
            <w:tcW w:w="2359"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乘坐人数核定</w:t>
            </w:r>
          </w:p>
        </w:tc>
        <w:tc>
          <w:tcPr>
            <w:tcW w:w="2154"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GB 7258-2017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16</w:t>
            </w:r>
          </w:p>
        </w:tc>
        <w:tc>
          <w:tcPr>
            <w:tcW w:w="2359"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安全防护装置</w:t>
            </w:r>
          </w:p>
        </w:tc>
        <w:tc>
          <w:tcPr>
            <w:tcW w:w="2154"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GB 7258-2017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17</w:t>
            </w:r>
          </w:p>
        </w:tc>
        <w:tc>
          <w:tcPr>
            <w:tcW w:w="2359"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外廓尺寸</w:t>
            </w:r>
          </w:p>
        </w:tc>
        <w:tc>
          <w:tcPr>
            <w:tcW w:w="2154"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GB 7258-2017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18</w:t>
            </w:r>
          </w:p>
        </w:tc>
        <w:tc>
          <w:tcPr>
            <w:tcW w:w="2359"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三轮摩托车侧倾稳定角</w:t>
            </w:r>
          </w:p>
        </w:tc>
        <w:tc>
          <w:tcPr>
            <w:tcW w:w="2154"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GB 7258-2017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19</w:t>
            </w:r>
          </w:p>
        </w:tc>
        <w:tc>
          <w:tcPr>
            <w:tcW w:w="2359"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操纵件、指示器及信号装置的图形符号</w:t>
            </w:r>
          </w:p>
        </w:tc>
        <w:tc>
          <w:tcPr>
            <w:tcW w:w="2154"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GB 15365-2008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20</w:t>
            </w:r>
          </w:p>
        </w:tc>
        <w:tc>
          <w:tcPr>
            <w:tcW w:w="2359"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装于摩托车上喇叭的性能要求</w:t>
            </w:r>
          </w:p>
        </w:tc>
        <w:tc>
          <w:tcPr>
            <w:tcW w:w="2154"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GB 15742-2019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21</w:t>
            </w:r>
          </w:p>
        </w:tc>
        <w:tc>
          <w:tcPr>
            <w:tcW w:w="2359"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后视镜安装要求</w:t>
            </w:r>
          </w:p>
        </w:tc>
        <w:tc>
          <w:tcPr>
            <w:tcW w:w="2154"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GB 17352-2010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22</w:t>
            </w:r>
          </w:p>
        </w:tc>
        <w:tc>
          <w:tcPr>
            <w:tcW w:w="2359"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间接视野装置安装要求</w:t>
            </w:r>
          </w:p>
        </w:tc>
        <w:tc>
          <w:tcPr>
            <w:tcW w:w="2154"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仿宋_GB2312" w:eastAsia="仿宋_GB2312" w:cs="仿宋_GB2312"/>
                <w:kern w:val="2"/>
                <w:sz w:val="24"/>
                <w:szCs w:val="24"/>
              </w:rPr>
              <w:t>GB 15084-20</w:t>
            </w:r>
            <w:r>
              <w:rPr>
                <w:rFonts w:hint="eastAsia" w:ascii="仿宋_GB2312" w:hAnsi="仿宋_GB2312" w:eastAsia="仿宋_GB2312" w:cs="仿宋_GB2312"/>
                <w:kern w:val="2"/>
                <w:sz w:val="24"/>
                <w:szCs w:val="24"/>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23</w:t>
            </w:r>
          </w:p>
        </w:tc>
        <w:tc>
          <w:tcPr>
            <w:tcW w:w="2359"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防盗装置</w:t>
            </w:r>
          </w:p>
        </w:tc>
        <w:tc>
          <w:tcPr>
            <w:tcW w:w="2154"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GB 17353-2014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24</w:t>
            </w:r>
          </w:p>
        </w:tc>
        <w:tc>
          <w:tcPr>
            <w:tcW w:w="2359"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照明和光信号装置的安装</w:t>
            </w:r>
          </w:p>
        </w:tc>
        <w:tc>
          <w:tcPr>
            <w:tcW w:w="2154"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GB 18100.3-2010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25</w:t>
            </w:r>
          </w:p>
        </w:tc>
        <w:tc>
          <w:tcPr>
            <w:tcW w:w="2359"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外部凸出物</w:t>
            </w:r>
          </w:p>
        </w:tc>
        <w:tc>
          <w:tcPr>
            <w:tcW w:w="2154"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GB 20074-2017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noWrap w:val="0"/>
            <w:vAlign w:val="center"/>
          </w:tcPr>
          <w:p>
            <w:pPr>
              <w:pStyle w:val="5"/>
              <w:adjustRightInd w:val="0"/>
              <w:snapToGrid w:val="0"/>
              <w:jc w:val="center"/>
              <w:rPr>
                <w:rFonts w:hint="default"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26</w:t>
            </w:r>
            <w:bookmarkStart w:id="0" w:name="_GoBack"/>
            <w:bookmarkEnd w:id="0"/>
          </w:p>
        </w:tc>
        <w:tc>
          <w:tcPr>
            <w:tcW w:w="2359"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制动性能</w:t>
            </w:r>
          </w:p>
        </w:tc>
        <w:tc>
          <w:tcPr>
            <w:tcW w:w="2154" w:type="pct"/>
            <w:noWrap w:val="0"/>
            <w:vAlign w:val="center"/>
          </w:tcPr>
          <w:p>
            <w:pPr>
              <w:pStyle w:val="5"/>
              <w:adjustRightInd w:val="0"/>
              <w:snapToGrid w:val="0"/>
              <w:jc w:val="center"/>
              <w:rPr>
                <w:rFonts w:hint="eastAsia" w:ascii="仿宋_GB2312" w:hAnsi="Times New Roman" w:eastAsia="仿宋_GB2312" w:cs="仿宋_GB2312"/>
                <w:color w:val="000000"/>
                <w:kern w:val="2"/>
                <w:sz w:val="24"/>
                <w:szCs w:val="24"/>
                <w:lang w:val="en-US" w:eastAsia="zh-CN"/>
              </w:rPr>
            </w:pPr>
            <w:r>
              <w:rPr>
                <w:rFonts w:hint="eastAsia" w:ascii="仿宋_GB2312" w:hAnsi="Times New Roman" w:eastAsia="仿宋_GB2312" w:cs="仿宋_GB2312"/>
                <w:color w:val="000000"/>
                <w:kern w:val="2"/>
                <w:sz w:val="24"/>
                <w:szCs w:val="24"/>
                <w:lang w:val="en-US" w:eastAsia="zh-CN"/>
              </w:rPr>
              <w:t>GB 20073-2018</w:t>
            </w:r>
          </w:p>
        </w:tc>
      </w:tr>
    </w:tbl>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方正仿宋_GBK" w:eastAsia="仿宋_GB2312" w:cs="方正仿宋_GBK"/>
          <w:sz w:val="28"/>
          <w:szCs w:val="28"/>
        </w:rPr>
      </w:pP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方正仿宋_GBK" w:eastAsia="仿宋_GB2312" w:cs="方正仿宋_GBK"/>
          <w:sz w:val="28"/>
          <w:szCs w:val="28"/>
        </w:rPr>
      </w:pPr>
      <w:r>
        <w:rPr>
          <w:rFonts w:hint="eastAsia" w:ascii="仿宋_GB2312" w:hAnsi="方正仿宋_GBK" w:eastAsia="仿宋_GB2312" w:cs="方正仿宋_GBK"/>
          <w:sz w:val="28"/>
          <w:szCs w:val="28"/>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方正仿宋_GBK" w:eastAsia="仿宋_GB2312" w:cs="方正仿宋_GBK"/>
          <w:sz w:val="28"/>
          <w:szCs w:val="28"/>
        </w:rPr>
      </w:pPr>
      <w:r>
        <w:rPr>
          <w:rFonts w:hint="eastAsia" w:ascii="仿宋_GB2312" w:hAnsi="方正仿宋_GBK" w:eastAsia="仿宋_GB2312" w:cs="方正仿宋_GBK"/>
          <w:sz w:val="28"/>
          <w:szCs w:val="28"/>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Times New Roman"/>
          <w:color w:val="000000"/>
          <w:sz w:val="28"/>
          <w:szCs w:val="28"/>
        </w:rPr>
      </w:pPr>
      <w:r>
        <w:rPr>
          <w:rFonts w:ascii="黑体" w:hAnsi="黑体" w:eastAsia="黑体" w:cs="Times New Roman"/>
          <w:color w:val="000000"/>
          <w:sz w:val="28"/>
          <w:szCs w:val="28"/>
        </w:rPr>
        <w:t>3.</w:t>
      </w:r>
      <w:r>
        <w:rPr>
          <w:rFonts w:hint="eastAsia" w:ascii="黑体" w:hAnsi="黑体" w:eastAsia="黑体" w:cs="Times New Roman"/>
          <w:color w:val="000000"/>
          <w:sz w:val="28"/>
          <w:szCs w:val="28"/>
        </w:rPr>
        <w:t>判定规则</w:t>
      </w:r>
    </w:p>
    <w:p>
      <w:pPr>
        <w:keepNext w:val="0"/>
        <w:keepLines w:val="0"/>
        <w:pageBreakBefore w:val="0"/>
        <w:widowControl w:val="0"/>
        <w:kinsoku/>
        <w:wordWrap/>
        <w:overflowPunct/>
        <w:topLinePunct w:val="0"/>
        <w:autoSpaceDE/>
        <w:autoSpaceDN/>
        <w:bidi w:val="0"/>
        <w:adjustRightInd w:val="0"/>
        <w:snapToGrid w:val="0"/>
        <w:spacing w:line="560" w:lineRule="exact"/>
        <w:ind w:firstLine="562" w:firstLineChars="200"/>
        <w:textAlignment w:val="auto"/>
        <w:rPr>
          <w:rFonts w:hint="eastAsia" w:ascii="楷体_GB2312" w:hAnsi="Times New Roman" w:eastAsia="楷体_GB2312" w:cs="Times New Roman"/>
          <w:b/>
          <w:color w:val="000000"/>
          <w:sz w:val="28"/>
          <w:szCs w:val="28"/>
        </w:rPr>
      </w:pPr>
      <w:r>
        <w:rPr>
          <w:rFonts w:hint="eastAsia" w:ascii="楷体_GB2312" w:hAnsi="Times New Roman" w:eastAsia="楷体_GB2312" w:cs="Times New Roman"/>
          <w:b/>
          <w:color w:val="000000"/>
          <w:sz w:val="28"/>
          <w:szCs w:val="28"/>
        </w:rPr>
        <w:t>3.1依据标准</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方正仿宋_GBK" w:eastAsia="仿宋_GB2312" w:cs="方正仿宋_GBK"/>
          <w:sz w:val="28"/>
          <w:szCs w:val="28"/>
          <w:lang w:eastAsia="zh-CN"/>
        </w:rPr>
      </w:pPr>
      <w:r>
        <w:rPr>
          <w:rFonts w:hint="eastAsia" w:ascii="仿宋_GB2312" w:hAnsi="方正仿宋_GBK" w:eastAsia="仿宋_GB2312" w:cs="方正仿宋_GBK"/>
          <w:sz w:val="28"/>
          <w:szCs w:val="28"/>
          <w:lang w:eastAsia="zh-CN"/>
        </w:rPr>
        <w:t xml:space="preserve">GB </w:t>
      </w:r>
      <w:r>
        <w:rPr>
          <w:rFonts w:hint="eastAsia" w:ascii="仿宋_GB2312" w:hAnsi="方正仿宋_GBK" w:eastAsia="仿宋_GB2312" w:cs="方正仿宋_GBK"/>
          <w:sz w:val="28"/>
          <w:szCs w:val="28"/>
          <w:lang w:val="en-US" w:eastAsia="zh-CN"/>
        </w:rPr>
        <w:t>24155</w:t>
      </w:r>
      <w:r>
        <w:rPr>
          <w:rFonts w:hint="eastAsia" w:ascii="仿宋_GB2312" w:hAnsi="方正仿宋_GBK" w:eastAsia="仿宋_GB2312" w:cs="方正仿宋_GBK"/>
          <w:sz w:val="28"/>
          <w:szCs w:val="28"/>
          <w:lang w:eastAsia="zh-CN"/>
        </w:rPr>
        <w:t>-20</w:t>
      </w:r>
      <w:r>
        <w:rPr>
          <w:rFonts w:hint="eastAsia" w:ascii="仿宋_GB2312" w:hAnsi="方正仿宋_GBK" w:eastAsia="仿宋_GB2312" w:cs="方正仿宋_GBK"/>
          <w:sz w:val="28"/>
          <w:szCs w:val="28"/>
          <w:lang w:val="en-US" w:eastAsia="zh-CN"/>
        </w:rPr>
        <w:t>20</w:t>
      </w:r>
      <w:r>
        <w:rPr>
          <w:rFonts w:hint="eastAsia" w:ascii="仿宋_GB2312" w:hAnsi="方正仿宋_GBK" w:eastAsia="仿宋_GB2312" w:cs="方正仿宋_GBK"/>
          <w:sz w:val="28"/>
          <w:szCs w:val="28"/>
          <w:lang w:eastAsia="zh-CN"/>
        </w:rPr>
        <w:t>《电动摩托车和电动轻便摩托车安全要求》</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方正仿宋_GBK" w:eastAsia="仿宋_GB2312" w:cs="方正仿宋_GBK"/>
          <w:sz w:val="28"/>
          <w:szCs w:val="28"/>
          <w:lang w:eastAsia="zh-CN"/>
        </w:rPr>
      </w:pPr>
      <w:r>
        <w:rPr>
          <w:rFonts w:hint="eastAsia" w:ascii="仿宋_GB2312" w:hAnsi="方正仿宋_GBK" w:eastAsia="仿宋_GB2312" w:cs="方正仿宋_GBK"/>
          <w:b w:val="0"/>
          <w:bCs w:val="0"/>
          <w:kern w:val="2"/>
          <w:sz w:val="28"/>
          <w:szCs w:val="28"/>
          <w:lang w:val="en-US" w:eastAsia="zh-CN" w:bidi="ar-SA"/>
        </w:rPr>
        <w:t>GB/T 24157-2017《电动摩托车和电动轻便摩托车续驶里程及残电指示试验方法》</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方正仿宋_GBK" w:eastAsia="仿宋_GB2312" w:cs="方正仿宋_GBK"/>
          <w:sz w:val="28"/>
          <w:szCs w:val="28"/>
          <w:lang w:eastAsia="zh-CN"/>
        </w:rPr>
      </w:pPr>
      <w:r>
        <w:rPr>
          <w:rFonts w:hint="eastAsia" w:ascii="仿宋_GB2312" w:hAnsi="方正仿宋_GBK" w:eastAsia="仿宋_GB2312" w:cs="方正仿宋_GBK"/>
          <w:sz w:val="28"/>
          <w:szCs w:val="28"/>
          <w:lang w:eastAsia="zh-CN"/>
        </w:rPr>
        <w:t>GB 7258-201</w:t>
      </w:r>
      <w:r>
        <w:rPr>
          <w:rFonts w:hint="eastAsia" w:ascii="仿宋_GB2312" w:hAnsi="方正仿宋_GBK" w:eastAsia="仿宋_GB2312" w:cs="方正仿宋_GBK"/>
          <w:sz w:val="28"/>
          <w:szCs w:val="28"/>
          <w:lang w:val="en-US" w:eastAsia="zh-CN"/>
        </w:rPr>
        <w:t>7</w:t>
      </w:r>
      <w:r>
        <w:rPr>
          <w:rFonts w:hint="eastAsia" w:ascii="仿宋_GB2312" w:hAnsi="方正仿宋_GBK" w:eastAsia="仿宋_GB2312" w:cs="方正仿宋_GBK"/>
          <w:sz w:val="28"/>
          <w:szCs w:val="28"/>
          <w:lang w:eastAsia="zh-CN"/>
        </w:rPr>
        <w:t>《机动车运行安全技术条件》</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方正仿宋_GBK" w:eastAsia="仿宋_GB2312" w:cs="方正仿宋_GBK"/>
          <w:sz w:val="28"/>
          <w:szCs w:val="28"/>
          <w:lang w:eastAsia="zh-CN"/>
        </w:rPr>
      </w:pPr>
      <w:r>
        <w:rPr>
          <w:rFonts w:hint="eastAsia" w:ascii="仿宋_GB2312" w:hAnsi="方正仿宋_GBK" w:eastAsia="仿宋_GB2312" w:cs="方正仿宋_GBK"/>
          <w:sz w:val="28"/>
          <w:szCs w:val="28"/>
          <w:lang w:eastAsia="zh-CN"/>
        </w:rPr>
        <w:t>GB 15365-2008《摩托车和轻便摩托车操纵件、指示器及信号装置的图形符号》</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方正仿宋_GBK" w:eastAsia="仿宋_GB2312" w:cs="方正仿宋_GBK"/>
          <w:sz w:val="28"/>
          <w:szCs w:val="28"/>
          <w:lang w:eastAsia="zh-CN"/>
        </w:rPr>
      </w:pPr>
      <w:r>
        <w:rPr>
          <w:rFonts w:hint="eastAsia" w:ascii="仿宋_GB2312" w:hAnsi="方正仿宋_GBK" w:eastAsia="仿宋_GB2312" w:cs="方正仿宋_GBK"/>
          <w:sz w:val="28"/>
          <w:szCs w:val="28"/>
          <w:lang w:eastAsia="zh-CN"/>
        </w:rPr>
        <w:t>GB 17353-2014《摩托车和轻便摩托车防盗装置》</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方正仿宋_GBK" w:eastAsia="仿宋_GB2312" w:cs="方正仿宋_GBK"/>
          <w:sz w:val="28"/>
          <w:szCs w:val="28"/>
          <w:lang w:eastAsia="zh-CN"/>
        </w:rPr>
      </w:pPr>
      <w:r>
        <w:rPr>
          <w:rFonts w:hint="eastAsia" w:ascii="仿宋_GB2312" w:hAnsi="方正仿宋_GBK" w:eastAsia="仿宋_GB2312" w:cs="方正仿宋_GBK"/>
          <w:sz w:val="28"/>
          <w:szCs w:val="28"/>
          <w:lang w:eastAsia="zh-CN"/>
        </w:rPr>
        <w:t>GB 18100.3-2010《摩托车照明和光信号装置的安装规定》第3部分：三轮摩托车</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方正仿宋_GBK" w:eastAsia="仿宋_GB2312" w:cs="方正仿宋_GBK"/>
          <w:sz w:val="28"/>
          <w:szCs w:val="28"/>
          <w:lang w:eastAsia="zh-CN"/>
        </w:rPr>
      </w:pPr>
      <w:r>
        <w:rPr>
          <w:rFonts w:hint="eastAsia" w:ascii="仿宋_GB2312" w:hAnsi="方正仿宋_GBK" w:eastAsia="仿宋_GB2312" w:cs="方正仿宋_GBK"/>
          <w:sz w:val="28"/>
          <w:szCs w:val="28"/>
          <w:lang w:eastAsia="zh-CN"/>
        </w:rPr>
        <w:t>GB 17352-2010《摩托车和轻便摩托车后视镜的性能和安装要求》</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方正仿宋_GBK" w:eastAsia="仿宋_GB2312" w:cs="方正仿宋_GBK"/>
          <w:sz w:val="28"/>
          <w:szCs w:val="28"/>
          <w:lang w:eastAsia="zh-CN"/>
        </w:rPr>
      </w:pPr>
      <w:r>
        <w:rPr>
          <w:rFonts w:hint="eastAsia" w:ascii="仿宋_GB2312" w:hAnsi="方正仿宋_GBK" w:eastAsia="仿宋_GB2312" w:cs="方正仿宋_GBK"/>
          <w:sz w:val="28"/>
          <w:szCs w:val="28"/>
          <w:lang w:eastAsia="zh-CN"/>
        </w:rPr>
        <w:t>GB 15084-20</w:t>
      </w:r>
      <w:r>
        <w:rPr>
          <w:rFonts w:hint="eastAsia" w:ascii="仿宋_GB2312" w:hAnsi="方正仿宋_GBK" w:eastAsia="仿宋_GB2312" w:cs="方正仿宋_GBK"/>
          <w:sz w:val="28"/>
          <w:szCs w:val="28"/>
          <w:lang w:val="en-US" w:eastAsia="zh-CN"/>
        </w:rPr>
        <w:t>22</w:t>
      </w:r>
      <w:r>
        <w:rPr>
          <w:rFonts w:hint="eastAsia" w:ascii="仿宋_GB2312" w:hAnsi="方正仿宋_GBK" w:eastAsia="仿宋_GB2312" w:cs="方正仿宋_GBK"/>
          <w:sz w:val="28"/>
          <w:szCs w:val="28"/>
          <w:lang w:eastAsia="zh-CN"/>
        </w:rPr>
        <w:t>《机动车</w:t>
      </w:r>
      <w:r>
        <w:rPr>
          <w:rFonts w:hint="eastAsia" w:ascii="仿宋_GB2312" w:hAnsi="方正仿宋_GBK" w:eastAsia="仿宋_GB2312" w:cs="方正仿宋_GBK"/>
          <w:sz w:val="28"/>
          <w:szCs w:val="28"/>
          <w:lang w:val="en-US" w:eastAsia="zh-CN"/>
        </w:rPr>
        <w:t>辆间接视野装置性能和安装要求</w:t>
      </w:r>
      <w:r>
        <w:rPr>
          <w:rFonts w:hint="eastAsia" w:ascii="仿宋_GB2312" w:hAnsi="方正仿宋_GBK" w:eastAsia="仿宋_GB2312" w:cs="方正仿宋_GBK"/>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方正仿宋_GBK" w:eastAsia="仿宋_GB2312" w:cs="方正仿宋_GBK"/>
          <w:sz w:val="28"/>
          <w:szCs w:val="28"/>
          <w:lang w:eastAsia="zh-CN"/>
        </w:rPr>
      </w:pPr>
      <w:r>
        <w:rPr>
          <w:rFonts w:hint="eastAsia" w:ascii="仿宋_GB2312" w:hAnsi="方正仿宋_GBK" w:eastAsia="仿宋_GB2312" w:cs="方正仿宋_GBK"/>
          <w:sz w:val="28"/>
          <w:szCs w:val="28"/>
          <w:lang w:eastAsia="zh-CN"/>
        </w:rPr>
        <w:t>GB 15742-20</w:t>
      </w:r>
      <w:r>
        <w:rPr>
          <w:rFonts w:hint="eastAsia" w:ascii="仿宋_GB2312" w:hAnsi="方正仿宋_GBK" w:eastAsia="仿宋_GB2312" w:cs="方正仿宋_GBK"/>
          <w:sz w:val="28"/>
          <w:szCs w:val="28"/>
          <w:lang w:val="en-US" w:eastAsia="zh-CN"/>
        </w:rPr>
        <w:t>19</w:t>
      </w:r>
      <w:r>
        <w:rPr>
          <w:rFonts w:hint="eastAsia" w:ascii="仿宋_GB2312" w:hAnsi="方正仿宋_GBK" w:eastAsia="仿宋_GB2312" w:cs="方正仿宋_GBK"/>
          <w:sz w:val="28"/>
          <w:szCs w:val="28"/>
          <w:lang w:eastAsia="zh-CN"/>
        </w:rPr>
        <w:t xml:space="preserve">《机动车用喇叭的性能要求及试验方法》 </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方正仿宋_GBK" w:eastAsia="仿宋_GB2312" w:cs="方正仿宋_GBK"/>
          <w:sz w:val="28"/>
          <w:szCs w:val="28"/>
          <w:lang w:eastAsia="zh-CN"/>
        </w:rPr>
      </w:pPr>
      <w:r>
        <w:rPr>
          <w:rFonts w:hint="eastAsia" w:ascii="仿宋_GB2312" w:hAnsi="方正仿宋_GBK" w:eastAsia="仿宋_GB2312" w:cs="方正仿宋_GBK"/>
          <w:sz w:val="28"/>
          <w:szCs w:val="28"/>
          <w:lang w:eastAsia="zh-CN"/>
        </w:rPr>
        <w:t>GB 20074-20</w:t>
      </w:r>
      <w:r>
        <w:rPr>
          <w:rFonts w:hint="eastAsia" w:ascii="仿宋_GB2312" w:hAnsi="方正仿宋_GBK" w:eastAsia="仿宋_GB2312" w:cs="方正仿宋_GBK"/>
          <w:sz w:val="28"/>
          <w:szCs w:val="28"/>
          <w:lang w:val="en-US" w:eastAsia="zh-CN"/>
        </w:rPr>
        <w:t>17</w:t>
      </w:r>
      <w:r>
        <w:rPr>
          <w:rFonts w:hint="eastAsia" w:ascii="仿宋_GB2312" w:hAnsi="方正仿宋_GBK" w:eastAsia="仿宋_GB2312" w:cs="方正仿宋_GBK"/>
          <w:sz w:val="28"/>
          <w:szCs w:val="28"/>
          <w:lang w:eastAsia="zh-CN"/>
        </w:rPr>
        <w:t>《摩托车和轻便摩托车外部凸出物》</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方正仿宋_GBK" w:eastAsia="仿宋_GB2312" w:cs="方正仿宋_GBK"/>
          <w:sz w:val="28"/>
          <w:szCs w:val="28"/>
          <w:lang w:val="zh-CN" w:eastAsia="zh-CN"/>
        </w:rPr>
      </w:pPr>
      <w:r>
        <w:rPr>
          <w:rFonts w:hint="eastAsia" w:ascii="仿宋_GB2312" w:hAnsi="方正仿宋_GBK" w:eastAsia="仿宋_GB2312" w:cs="方正仿宋_GBK"/>
          <w:sz w:val="28"/>
          <w:szCs w:val="28"/>
          <w:lang w:eastAsia="zh-CN"/>
        </w:rPr>
        <w:t>GB 20073-20</w:t>
      </w:r>
      <w:r>
        <w:rPr>
          <w:rFonts w:hint="eastAsia" w:ascii="仿宋_GB2312" w:hAnsi="方正仿宋_GBK" w:eastAsia="仿宋_GB2312" w:cs="方正仿宋_GBK"/>
          <w:sz w:val="28"/>
          <w:szCs w:val="28"/>
          <w:lang w:val="en-US" w:eastAsia="zh-CN"/>
        </w:rPr>
        <w:t>18</w:t>
      </w:r>
      <w:r>
        <w:rPr>
          <w:rFonts w:hint="eastAsia" w:ascii="仿宋_GB2312" w:hAnsi="方正仿宋_GBK" w:eastAsia="仿宋_GB2312" w:cs="方正仿宋_GBK"/>
          <w:sz w:val="28"/>
          <w:szCs w:val="28"/>
          <w:lang w:eastAsia="zh-CN"/>
        </w:rPr>
        <w:t>《摩托车和轻便摩托车制动性能要求及试验方法》</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方正仿宋_GBK" w:eastAsia="仿宋_GB2312" w:cs="方正仿宋_GBK"/>
          <w:sz w:val="28"/>
          <w:szCs w:val="28"/>
        </w:rPr>
      </w:pPr>
      <w:r>
        <w:rPr>
          <w:rFonts w:hint="eastAsia" w:ascii="仿宋_GB2312" w:hAnsi="方正仿宋_GBK" w:eastAsia="仿宋_GB2312" w:cs="方正仿宋_GBK"/>
          <w:sz w:val="28"/>
          <w:szCs w:val="28"/>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val="0"/>
        <w:snapToGrid w:val="0"/>
        <w:spacing w:line="560" w:lineRule="exact"/>
        <w:ind w:firstLine="562" w:firstLineChars="200"/>
        <w:textAlignment w:val="auto"/>
        <w:rPr>
          <w:rFonts w:hint="eastAsia" w:ascii="楷体_GB2312" w:hAnsi="Times New Roman" w:eastAsia="楷体_GB2312" w:cs="Times New Roman"/>
          <w:b/>
          <w:color w:val="000000"/>
          <w:sz w:val="28"/>
          <w:szCs w:val="28"/>
        </w:rPr>
      </w:pPr>
      <w:r>
        <w:rPr>
          <w:rFonts w:hint="eastAsia" w:ascii="楷体_GB2312" w:hAnsi="Times New Roman" w:eastAsia="楷体_GB2312" w:cs="Times New Roman"/>
          <w:b/>
          <w:color w:val="000000"/>
          <w:sz w:val="28"/>
          <w:szCs w:val="28"/>
        </w:rPr>
        <w:t>3.2判定原则</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方正仿宋_GBK" w:eastAsia="仿宋_GB2312" w:cs="方正仿宋_GBK"/>
          <w:sz w:val="28"/>
          <w:szCs w:val="28"/>
        </w:rPr>
      </w:pPr>
      <w:r>
        <w:rPr>
          <w:rFonts w:hint="eastAsia" w:ascii="仿宋_GB2312" w:hAnsi="方正仿宋_GBK" w:eastAsia="仿宋_GB2312" w:cs="方正仿宋_GBK"/>
          <w:sz w:val="28"/>
          <w:szCs w:val="28"/>
        </w:rPr>
        <w:t>经检验，检验项目全部合格，判定为被抽查产品合格；检验项目中任一项或一项以上不合格，判定为被抽查产品不合格。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方正仿宋_GBK" w:eastAsia="仿宋_GB2312" w:cs="方正仿宋_GBK"/>
          <w:sz w:val="28"/>
          <w:szCs w:val="28"/>
        </w:rPr>
      </w:pPr>
      <w:r>
        <w:rPr>
          <w:rFonts w:hint="eastAsia" w:ascii="仿宋_GB2312" w:hAnsi="方正仿宋_GBK" w:eastAsia="仿宋_GB2312" w:cs="方正仿宋_GBK"/>
          <w:sz w:val="28"/>
          <w:szCs w:val="28"/>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方正仿宋_GBK" w:eastAsia="仿宋_GB2312" w:cs="方正仿宋_GBK"/>
          <w:sz w:val="28"/>
          <w:szCs w:val="28"/>
        </w:rPr>
      </w:pPr>
      <w:r>
        <w:rPr>
          <w:rFonts w:hint="eastAsia" w:ascii="仿宋_GB2312" w:hAnsi="方正仿宋_GBK" w:eastAsia="仿宋_GB2312" w:cs="方正仿宋_GBK"/>
          <w:sz w:val="28"/>
          <w:szCs w:val="28"/>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方正仿宋_GBK" w:eastAsia="仿宋_GB2312" w:cs="方正仿宋_GBK"/>
          <w:sz w:val="28"/>
          <w:szCs w:val="28"/>
        </w:rPr>
      </w:pPr>
      <w:r>
        <w:rPr>
          <w:rFonts w:hint="eastAsia" w:ascii="仿宋_GB2312" w:hAnsi="方正仿宋_GBK" w:eastAsia="仿宋_GB2312" w:cs="方正仿宋_GBK"/>
          <w:sz w:val="28"/>
          <w:szCs w:val="28"/>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方正仿宋_GBK" w:eastAsia="仿宋_GB2312" w:cs="方正仿宋_GBK"/>
          <w:sz w:val="28"/>
          <w:szCs w:val="28"/>
        </w:rPr>
      </w:pPr>
      <w:r>
        <w:rPr>
          <w:rFonts w:hint="eastAsia" w:ascii="仿宋_GB2312" w:hAnsi="方正仿宋_GBK" w:eastAsia="仿宋_GB2312" w:cs="方正仿宋_GBK"/>
          <w:sz w:val="28"/>
          <w:szCs w:val="28"/>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方正仿宋_GBK" w:eastAsia="仿宋_GB2312" w:cs="方正仿宋_GBK"/>
          <w:sz w:val="28"/>
          <w:szCs w:val="28"/>
        </w:rPr>
      </w:pPr>
      <w:r>
        <w:rPr>
          <w:rFonts w:hint="eastAsia" w:ascii="仿宋_GB2312" w:hAnsi="方正仿宋_GBK" w:eastAsia="仿宋_GB2312" w:cs="方正仿宋_GBK"/>
          <w:sz w:val="28"/>
          <w:szCs w:val="28"/>
        </w:rPr>
        <w:t>若被检产品明示的质量要求缺少本细则中检验项目依据的推荐性标准要求时，该项目不参与判定。</w:t>
      </w:r>
    </w:p>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仿宋_GB2312" w:hAnsi="Times New Roman" w:eastAsia="仿宋_GB2312"/>
          <w:color w:val="FF0000"/>
          <w:sz w:val="32"/>
          <w:szCs w:val="32"/>
        </w:rPr>
      </w:pPr>
    </w:p>
    <w:sectPr>
      <w:headerReference r:id="rId3" w:type="default"/>
      <w:footerReference r:id="rId4" w:type="default"/>
      <w:footerReference r:id="rId5" w:type="even"/>
      <w:pgSz w:w="11906" w:h="16838"/>
      <w:pgMar w:top="1985" w:right="1418" w:bottom="1985" w:left="1418"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黑体"/>
    <w:panose1 w:val="03000509000000000000"/>
    <w:charset w:val="86"/>
    <w:family w:val="script"/>
    <w:pitch w:val="default"/>
    <w:sig w:usb0="00000000" w:usb1="00000000" w:usb2="00000010" w:usb3="00000000" w:csb0="00040000" w:csb1="00000000"/>
  </w:font>
  <w:font w:name="方正仿宋_GBK">
    <w:altName w:val="微软雅黑"/>
    <w:panose1 w:val="00000000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lang w:val="zh-CN"/>
      </w:rPr>
      <w:fldChar w:fldCharType="begin"/>
    </w:r>
    <w:r>
      <w:rPr>
        <w:lang w:val="zh-CN"/>
      </w:rPr>
      <w:instrText xml:space="preserve"> PAGE   \* MERGEFORMAT </w:instrText>
    </w:r>
    <w:r>
      <w:rPr>
        <w:lang w:val="zh-CN"/>
      </w:rPr>
      <w:fldChar w:fldCharType="separate"/>
    </w:r>
    <w:r>
      <w:t>8</w:t>
    </w:r>
    <w:r>
      <w:rPr>
        <w:lang w:val="zh-CN"/>
      </w:rPr>
      <w:fldChar w:fldCharType="end"/>
    </w:r>
  </w:p>
  <w:p>
    <w:pPr>
      <w:pStyle w:val="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6"/>
      </w:rPr>
    </w:pPr>
    <w:r>
      <w:fldChar w:fldCharType="begin"/>
    </w:r>
    <w:r>
      <w:rPr>
        <w:rStyle w:val="16"/>
      </w:rPr>
      <w:instrText xml:space="preserve">PAGE  </w:instrText>
    </w:r>
    <w:r>
      <w:fldChar w:fldCharType="separate"/>
    </w:r>
    <w:r>
      <w:rPr>
        <w:rStyle w:val="16"/>
      </w:rPr>
      <w:t>2</w:t>
    </w:r>
    <w:r>
      <w:fldChar w:fldCharType="end"/>
    </w:r>
  </w:p>
  <w:p>
    <w:pPr>
      <w:pStyle w:val="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0MDU3Y2VlNDNlNmQ0MTc4MDAwMTVmMmMzZWFjM2YifQ=="/>
  </w:docVars>
  <w:rsids>
    <w:rsidRoot w:val="00172A27"/>
    <w:rsid w:val="00005A08"/>
    <w:rsid w:val="00051A44"/>
    <w:rsid w:val="0005503E"/>
    <w:rsid w:val="00064FD2"/>
    <w:rsid w:val="00081CBD"/>
    <w:rsid w:val="000976DE"/>
    <w:rsid w:val="000B0D0C"/>
    <w:rsid w:val="000D54F1"/>
    <w:rsid w:val="000E386E"/>
    <w:rsid w:val="000E61DF"/>
    <w:rsid w:val="001119D4"/>
    <w:rsid w:val="00116DD2"/>
    <w:rsid w:val="001526B5"/>
    <w:rsid w:val="00154D8E"/>
    <w:rsid w:val="00155349"/>
    <w:rsid w:val="0017196D"/>
    <w:rsid w:val="001809DD"/>
    <w:rsid w:val="001927CF"/>
    <w:rsid w:val="00192A0B"/>
    <w:rsid w:val="001A2432"/>
    <w:rsid w:val="001B03F1"/>
    <w:rsid w:val="001B14F7"/>
    <w:rsid w:val="001C78EC"/>
    <w:rsid w:val="00205F3E"/>
    <w:rsid w:val="00232774"/>
    <w:rsid w:val="002530F1"/>
    <w:rsid w:val="00253624"/>
    <w:rsid w:val="00261B5A"/>
    <w:rsid w:val="002D5F41"/>
    <w:rsid w:val="002D7F8A"/>
    <w:rsid w:val="002E0D1D"/>
    <w:rsid w:val="002E46ED"/>
    <w:rsid w:val="003138F3"/>
    <w:rsid w:val="003203A3"/>
    <w:rsid w:val="00326800"/>
    <w:rsid w:val="00343AB7"/>
    <w:rsid w:val="003477E8"/>
    <w:rsid w:val="00366632"/>
    <w:rsid w:val="00374444"/>
    <w:rsid w:val="00395E47"/>
    <w:rsid w:val="003C388C"/>
    <w:rsid w:val="003D3AC9"/>
    <w:rsid w:val="003E2920"/>
    <w:rsid w:val="003E61BF"/>
    <w:rsid w:val="004032FB"/>
    <w:rsid w:val="004253BB"/>
    <w:rsid w:val="00445E86"/>
    <w:rsid w:val="00445FA1"/>
    <w:rsid w:val="00474E04"/>
    <w:rsid w:val="004B39F0"/>
    <w:rsid w:val="004D0C5A"/>
    <w:rsid w:val="004D1824"/>
    <w:rsid w:val="004E1396"/>
    <w:rsid w:val="004E4A4B"/>
    <w:rsid w:val="005175DF"/>
    <w:rsid w:val="00550A1F"/>
    <w:rsid w:val="00563EBC"/>
    <w:rsid w:val="00574EC2"/>
    <w:rsid w:val="0058452F"/>
    <w:rsid w:val="00585B51"/>
    <w:rsid w:val="006461E3"/>
    <w:rsid w:val="00670E6A"/>
    <w:rsid w:val="00674391"/>
    <w:rsid w:val="00675E3C"/>
    <w:rsid w:val="006B7248"/>
    <w:rsid w:val="006C5275"/>
    <w:rsid w:val="006C7B79"/>
    <w:rsid w:val="006D4BAE"/>
    <w:rsid w:val="006F0971"/>
    <w:rsid w:val="006F206B"/>
    <w:rsid w:val="006F4E18"/>
    <w:rsid w:val="0070419E"/>
    <w:rsid w:val="0071775F"/>
    <w:rsid w:val="00720AC7"/>
    <w:rsid w:val="0072334C"/>
    <w:rsid w:val="0073086B"/>
    <w:rsid w:val="00777498"/>
    <w:rsid w:val="007908EB"/>
    <w:rsid w:val="007A23BB"/>
    <w:rsid w:val="0083034C"/>
    <w:rsid w:val="0083758B"/>
    <w:rsid w:val="00850CA2"/>
    <w:rsid w:val="00864466"/>
    <w:rsid w:val="00895BEA"/>
    <w:rsid w:val="008A2675"/>
    <w:rsid w:val="008A3497"/>
    <w:rsid w:val="008B0132"/>
    <w:rsid w:val="008D1C38"/>
    <w:rsid w:val="008E1963"/>
    <w:rsid w:val="00917A54"/>
    <w:rsid w:val="0092403A"/>
    <w:rsid w:val="00931C7E"/>
    <w:rsid w:val="0095633A"/>
    <w:rsid w:val="009D0B26"/>
    <w:rsid w:val="00A37DF5"/>
    <w:rsid w:val="00A41401"/>
    <w:rsid w:val="00A43553"/>
    <w:rsid w:val="00A51BC0"/>
    <w:rsid w:val="00A63EE3"/>
    <w:rsid w:val="00AA03AE"/>
    <w:rsid w:val="00AF2C93"/>
    <w:rsid w:val="00B57B44"/>
    <w:rsid w:val="00B67D9F"/>
    <w:rsid w:val="00B861D4"/>
    <w:rsid w:val="00BA0EEF"/>
    <w:rsid w:val="00BD0BF0"/>
    <w:rsid w:val="00BD7935"/>
    <w:rsid w:val="00BE19EB"/>
    <w:rsid w:val="00BF1F6C"/>
    <w:rsid w:val="00C20E85"/>
    <w:rsid w:val="00C26074"/>
    <w:rsid w:val="00C462D6"/>
    <w:rsid w:val="00C83B0A"/>
    <w:rsid w:val="00CE1E0C"/>
    <w:rsid w:val="00CE277E"/>
    <w:rsid w:val="00D104F9"/>
    <w:rsid w:val="00D11904"/>
    <w:rsid w:val="00D5357F"/>
    <w:rsid w:val="00D56867"/>
    <w:rsid w:val="00D56AA0"/>
    <w:rsid w:val="00D637B3"/>
    <w:rsid w:val="00DA021B"/>
    <w:rsid w:val="00DA47A4"/>
    <w:rsid w:val="00DC4A5A"/>
    <w:rsid w:val="00E02A7F"/>
    <w:rsid w:val="00E07880"/>
    <w:rsid w:val="00E604E0"/>
    <w:rsid w:val="00E77219"/>
    <w:rsid w:val="00E82621"/>
    <w:rsid w:val="00EE1572"/>
    <w:rsid w:val="00EE509E"/>
    <w:rsid w:val="00F3513C"/>
    <w:rsid w:val="00F4641B"/>
    <w:rsid w:val="00F77C9A"/>
    <w:rsid w:val="00FA796A"/>
    <w:rsid w:val="00FB576C"/>
    <w:rsid w:val="00FD2AA6"/>
    <w:rsid w:val="00FE3E8F"/>
    <w:rsid w:val="00FE7E8A"/>
    <w:rsid w:val="02BB1661"/>
    <w:rsid w:val="02D4082F"/>
    <w:rsid w:val="03E60386"/>
    <w:rsid w:val="03EF7C67"/>
    <w:rsid w:val="04ED064B"/>
    <w:rsid w:val="0571302A"/>
    <w:rsid w:val="05777F14"/>
    <w:rsid w:val="06351573"/>
    <w:rsid w:val="0636698C"/>
    <w:rsid w:val="07A50D69"/>
    <w:rsid w:val="07CF7529"/>
    <w:rsid w:val="081F2A60"/>
    <w:rsid w:val="0963712E"/>
    <w:rsid w:val="09751BFF"/>
    <w:rsid w:val="09756E61"/>
    <w:rsid w:val="0A7B49CF"/>
    <w:rsid w:val="0A951165"/>
    <w:rsid w:val="0AE33BE1"/>
    <w:rsid w:val="0B0F5FAF"/>
    <w:rsid w:val="0BD40B49"/>
    <w:rsid w:val="0C851169"/>
    <w:rsid w:val="0D0E0107"/>
    <w:rsid w:val="0FFE47C1"/>
    <w:rsid w:val="100F352A"/>
    <w:rsid w:val="109A75B9"/>
    <w:rsid w:val="10A87B1C"/>
    <w:rsid w:val="10C20BDE"/>
    <w:rsid w:val="110D797F"/>
    <w:rsid w:val="11463F14"/>
    <w:rsid w:val="1210710C"/>
    <w:rsid w:val="12BC340B"/>
    <w:rsid w:val="145727E0"/>
    <w:rsid w:val="14707ED7"/>
    <w:rsid w:val="15FA2BC8"/>
    <w:rsid w:val="16A91EF8"/>
    <w:rsid w:val="18063ABA"/>
    <w:rsid w:val="18437C47"/>
    <w:rsid w:val="18771332"/>
    <w:rsid w:val="18F71640"/>
    <w:rsid w:val="1AB64BE3"/>
    <w:rsid w:val="1C625023"/>
    <w:rsid w:val="1DBE44DB"/>
    <w:rsid w:val="1DC9278F"/>
    <w:rsid w:val="1E482CE1"/>
    <w:rsid w:val="1F656C80"/>
    <w:rsid w:val="204333BD"/>
    <w:rsid w:val="20D63FCA"/>
    <w:rsid w:val="2124758E"/>
    <w:rsid w:val="213276BA"/>
    <w:rsid w:val="221B6997"/>
    <w:rsid w:val="24B31F50"/>
    <w:rsid w:val="25A154E6"/>
    <w:rsid w:val="25B53F70"/>
    <w:rsid w:val="266A16A4"/>
    <w:rsid w:val="272B4704"/>
    <w:rsid w:val="27716A62"/>
    <w:rsid w:val="27BC1DBF"/>
    <w:rsid w:val="28793E20"/>
    <w:rsid w:val="28993424"/>
    <w:rsid w:val="28EA6ACC"/>
    <w:rsid w:val="290C60E4"/>
    <w:rsid w:val="2A6A32DF"/>
    <w:rsid w:val="2C002162"/>
    <w:rsid w:val="2C1B2972"/>
    <w:rsid w:val="2FB21A9B"/>
    <w:rsid w:val="30123D09"/>
    <w:rsid w:val="31796845"/>
    <w:rsid w:val="32B048E2"/>
    <w:rsid w:val="35524965"/>
    <w:rsid w:val="369059BC"/>
    <w:rsid w:val="388D1051"/>
    <w:rsid w:val="38BE00CE"/>
    <w:rsid w:val="3A52627F"/>
    <w:rsid w:val="3B4065B5"/>
    <w:rsid w:val="3B6224F2"/>
    <w:rsid w:val="3B6C3370"/>
    <w:rsid w:val="3B81506E"/>
    <w:rsid w:val="3C226060"/>
    <w:rsid w:val="3C577B7C"/>
    <w:rsid w:val="3D193084"/>
    <w:rsid w:val="3E234428"/>
    <w:rsid w:val="3F1955BD"/>
    <w:rsid w:val="4108498B"/>
    <w:rsid w:val="44F3648E"/>
    <w:rsid w:val="45256ACB"/>
    <w:rsid w:val="46CC1167"/>
    <w:rsid w:val="471E1BF8"/>
    <w:rsid w:val="476D46F8"/>
    <w:rsid w:val="47F36CDA"/>
    <w:rsid w:val="485C6430"/>
    <w:rsid w:val="4ABB3E7C"/>
    <w:rsid w:val="4ABD2E3B"/>
    <w:rsid w:val="4ADF0DC9"/>
    <w:rsid w:val="4B6B7151"/>
    <w:rsid w:val="4BD92A08"/>
    <w:rsid w:val="4C0A4C0B"/>
    <w:rsid w:val="4CA26BF2"/>
    <w:rsid w:val="4D9549A9"/>
    <w:rsid w:val="4DAE5A6A"/>
    <w:rsid w:val="4EC70B92"/>
    <w:rsid w:val="4F306464"/>
    <w:rsid w:val="51B318A1"/>
    <w:rsid w:val="51BB1F06"/>
    <w:rsid w:val="52374280"/>
    <w:rsid w:val="53A92F5C"/>
    <w:rsid w:val="55287EB0"/>
    <w:rsid w:val="55342CF9"/>
    <w:rsid w:val="55AC288F"/>
    <w:rsid w:val="56407115"/>
    <w:rsid w:val="56BF65F2"/>
    <w:rsid w:val="56CA5C06"/>
    <w:rsid w:val="57F30C49"/>
    <w:rsid w:val="58445001"/>
    <w:rsid w:val="585341E7"/>
    <w:rsid w:val="58E40592"/>
    <w:rsid w:val="59C82E25"/>
    <w:rsid w:val="59D4455F"/>
    <w:rsid w:val="5A2D0084"/>
    <w:rsid w:val="5A6C4CE3"/>
    <w:rsid w:val="5C6F74C6"/>
    <w:rsid w:val="5DD857CB"/>
    <w:rsid w:val="5E1E4546"/>
    <w:rsid w:val="5E602469"/>
    <w:rsid w:val="5F0D0843"/>
    <w:rsid w:val="5F5F0972"/>
    <w:rsid w:val="5FEF619A"/>
    <w:rsid w:val="605D67DF"/>
    <w:rsid w:val="62403434"/>
    <w:rsid w:val="68112A26"/>
    <w:rsid w:val="68AE2E75"/>
    <w:rsid w:val="69561139"/>
    <w:rsid w:val="695B03FD"/>
    <w:rsid w:val="69FF6FDA"/>
    <w:rsid w:val="6BB5505B"/>
    <w:rsid w:val="6BF6440D"/>
    <w:rsid w:val="6C6B6BA9"/>
    <w:rsid w:val="6E8E3022"/>
    <w:rsid w:val="713A123F"/>
    <w:rsid w:val="71A06773"/>
    <w:rsid w:val="71CF1988"/>
    <w:rsid w:val="723A4344"/>
    <w:rsid w:val="73C13386"/>
    <w:rsid w:val="75E0435A"/>
    <w:rsid w:val="762229CE"/>
    <w:rsid w:val="7828643E"/>
    <w:rsid w:val="78F148D9"/>
    <w:rsid w:val="79E1494E"/>
    <w:rsid w:val="7A6335B5"/>
    <w:rsid w:val="7AA634A2"/>
    <w:rsid w:val="7C7E0232"/>
    <w:rsid w:val="7C7F3FAA"/>
    <w:rsid w:val="7D20753B"/>
    <w:rsid w:val="7DD02D0F"/>
    <w:rsid w:val="7EE6031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99" w:semiHidden="0" w:name="Body Text Indent 3"/>
    <w:lsdException w:uiPriority="99" w:name="Block Text"/>
    <w:lsdException w:qFormat="1" w:uiPriority="99" w:name="Hyperlink"/>
    <w:lsdException w:uiPriority="99" w:name="FollowedHyperlink"/>
    <w:lsdException w:qFormat="1" w:unhideWhenUsed="0" w:uiPriority="99" w:semiHidden="0" w:name="Strong"/>
    <w:lsdException w:qFormat="1" w:unhideWhenUsed="0" w:uiPriority="99" w:semiHidden="0" w:name="Emphasis"/>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7"/>
    <w:qFormat/>
    <w:uiPriority w:val="99"/>
    <w:pPr>
      <w:keepNext/>
      <w:keepLines/>
      <w:autoSpaceDE w:val="0"/>
      <w:autoSpaceDN w:val="0"/>
      <w:adjustRightInd w:val="0"/>
      <w:spacing w:before="340" w:after="330" w:line="578" w:lineRule="auto"/>
      <w:jc w:val="left"/>
      <w:outlineLvl w:val="0"/>
    </w:pPr>
    <w:rPr>
      <w:rFonts w:ascii="宋体"/>
      <w:b/>
      <w:bCs/>
      <w:kern w:val="44"/>
      <w:sz w:val="44"/>
      <w:szCs w:val="44"/>
    </w:rPr>
  </w:style>
  <w:style w:type="character" w:default="1" w:styleId="14">
    <w:name w:val="Default Paragraph Font"/>
    <w:semiHidden/>
    <w:uiPriority w:val="0"/>
  </w:style>
  <w:style w:type="table" w:default="1" w:styleId="13">
    <w:name w:val="Normal Table"/>
    <w:unhideWhenUsed/>
    <w:uiPriority w:val="99"/>
    <w:tblPr>
      <w:tblCellMar>
        <w:top w:w="0" w:type="dxa"/>
        <w:left w:w="108" w:type="dxa"/>
        <w:bottom w:w="0" w:type="dxa"/>
        <w:right w:w="108" w:type="dxa"/>
      </w:tblCellMar>
    </w:tblPr>
  </w:style>
  <w:style w:type="paragraph" w:styleId="3">
    <w:name w:val="annotation text"/>
    <w:basedOn w:val="1"/>
    <w:link w:val="18"/>
    <w:autoRedefine/>
    <w:unhideWhenUsed/>
    <w:qFormat/>
    <w:uiPriority w:val="99"/>
    <w:pPr>
      <w:jc w:val="left"/>
    </w:pPr>
  </w:style>
  <w:style w:type="paragraph" w:styleId="4">
    <w:name w:val="Body Text Indent"/>
    <w:basedOn w:val="1"/>
    <w:link w:val="19"/>
    <w:autoRedefine/>
    <w:qFormat/>
    <w:uiPriority w:val="99"/>
    <w:pPr>
      <w:ind w:firstLine="600" w:firstLineChars="200"/>
    </w:pPr>
    <w:rPr>
      <w:rFonts w:eastAsia="仿宋_GB2312"/>
      <w:sz w:val="30"/>
      <w:szCs w:val="30"/>
    </w:rPr>
  </w:style>
  <w:style w:type="paragraph" w:styleId="5">
    <w:name w:val="Plain Text"/>
    <w:basedOn w:val="1"/>
    <w:link w:val="20"/>
    <w:autoRedefine/>
    <w:qFormat/>
    <w:uiPriority w:val="99"/>
    <w:rPr>
      <w:rFonts w:ascii="宋体" w:hAnsi="Courier New"/>
      <w:kern w:val="0"/>
      <w:sz w:val="20"/>
      <w:szCs w:val="20"/>
    </w:rPr>
  </w:style>
  <w:style w:type="paragraph" w:styleId="6">
    <w:name w:val="Date"/>
    <w:basedOn w:val="1"/>
    <w:next w:val="1"/>
    <w:link w:val="21"/>
    <w:autoRedefine/>
    <w:qFormat/>
    <w:uiPriority w:val="0"/>
    <w:rPr>
      <w:sz w:val="24"/>
      <w:szCs w:val="20"/>
    </w:rPr>
  </w:style>
  <w:style w:type="paragraph" w:styleId="7">
    <w:name w:val="Balloon Text"/>
    <w:basedOn w:val="1"/>
    <w:link w:val="22"/>
    <w:qFormat/>
    <w:uiPriority w:val="0"/>
    <w:rPr>
      <w:sz w:val="18"/>
      <w:szCs w:val="18"/>
    </w:rPr>
  </w:style>
  <w:style w:type="paragraph" w:styleId="8">
    <w:name w:val="footer"/>
    <w:basedOn w:val="1"/>
    <w:link w:val="23"/>
    <w:autoRedefine/>
    <w:unhideWhenUsed/>
    <w:qFormat/>
    <w:uiPriority w:val="99"/>
    <w:pPr>
      <w:tabs>
        <w:tab w:val="center" w:pos="4153"/>
        <w:tab w:val="right" w:pos="8306"/>
      </w:tabs>
      <w:snapToGrid w:val="0"/>
      <w:jc w:val="left"/>
    </w:pPr>
    <w:rPr>
      <w:sz w:val="18"/>
      <w:szCs w:val="18"/>
    </w:rPr>
  </w:style>
  <w:style w:type="paragraph" w:styleId="9">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Body Text Indent 3"/>
    <w:basedOn w:val="1"/>
    <w:link w:val="25"/>
    <w:qFormat/>
    <w:uiPriority w:val="99"/>
    <w:pPr>
      <w:spacing w:after="120"/>
      <w:ind w:left="420" w:leftChars="200"/>
    </w:pPr>
    <w:rPr>
      <w:sz w:val="16"/>
      <w:szCs w:val="16"/>
    </w:rPr>
  </w:style>
  <w:style w:type="paragraph" w:styleId="11">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2">
    <w:name w:val="annotation subject"/>
    <w:basedOn w:val="3"/>
    <w:next w:val="3"/>
    <w:link w:val="26"/>
    <w:qFormat/>
    <w:uiPriority w:val="99"/>
    <w:rPr>
      <w:b/>
      <w:bCs/>
      <w:szCs w:val="21"/>
    </w:rPr>
  </w:style>
  <w:style w:type="character" w:styleId="15">
    <w:name w:val="Strong"/>
    <w:basedOn w:val="14"/>
    <w:qFormat/>
    <w:uiPriority w:val="99"/>
    <w:rPr>
      <w:b/>
    </w:rPr>
  </w:style>
  <w:style w:type="character" w:styleId="16">
    <w:name w:val="page number"/>
    <w:basedOn w:val="14"/>
    <w:qFormat/>
    <w:uiPriority w:val="0"/>
  </w:style>
  <w:style w:type="character" w:customStyle="1" w:styleId="17">
    <w:name w:val="标题 1 字符"/>
    <w:link w:val="2"/>
    <w:qFormat/>
    <w:uiPriority w:val="99"/>
    <w:rPr>
      <w:rFonts w:ascii="宋体"/>
      <w:b/>
      <w:bCs/>
      <w:kern w:val="44"/>
      <w:sz w:val="44"/>
      <w:szCs w:val="44"/>
    </w:rPr>
  </w:style>
  <w:style w:type="character" w:customStyle="1" w:styleId="18">
    <w:name w:val="批注文字 字符"/>
    <w:link w:val="3"/>
    <w:qFormat/>
    <w:uiPriority w:val="99"/>
    <w:rPr>
      <w:kern w:val="2"/>
      <w:sz w:val="21"/>
      <w:szCs w:val="24"/>
    </w:rPr>
  </w:style>
  <w:style w:type="character" w:customStyle="1" w:styleId="19">
    <w:name w:val="正文文本缩进 字符"/>
    <w:link w:val="4"/>
    <w:qFormat/>
    <w:uiPriority w:val="99"/>
    <w:rPr>
      <w:rFonts w:eastAsia="仿宋_GB2312"/>
      <w:kern w:val="2"/>
      <w:sz w:val="30"/>
      <w:szCs w:val="30"/>
    </w:rPr>
  </w:style>
  <w:style w:type="character" w:customStyle="1" w:styleId="20">
    <w:name w:val="纯文本 字符"/>
    <w:link w:val="5"/>
    <w:qFormat/>
    <w:uiPriority w:val="99"/>
    <w:rPr>
      <w:rFonts w:ascii="宋体" w:hAnsi="Courier New" w:cs="宋体"/>
    </w:rPr>
  </w:style>
  <w:style w:type="character" w:customStyle="1" w:styleId="21">
    <w:name w:val="日期 字符"/>
    <w:link w:val="6"/>
    <w:uiPriority w:val="0"/>
    <w:rPr>
      <w:kern w:val="2"/>
      <w:sz w:val="24"/>
    </w:rPr>
  </w:style>
  <w:style w:type="character" w:customStyle="1" w:styleId="22">
    <w:name w:val="批注框文本 字符"/>
    <w:link w:val="7"/>
    <w:qFormat/>
    <w:uiPriority w:val="0"/>
    <w:rPr>
      <w:rFonts w:ascii="Calibri" w:hAnsi="Calibri" w:cs="Calibri"/>
      <w:kern w:val="2"/>
      <w:sz w:val="18"/>
      <w:szCs w:val="18"/>
    </w:rPr>
  </w:style>
  <w:style w:type="character" w:customStyle="1" w:styleId="23">
    <w:name w:val="页脚 字符"/>
    <w:link w:val="8"/>
    <w:qFormat/>
    <w:uiPriority w:val="99"/>
    <w:rPr>
      <w:kern w:val="2"/>
      <w:sz w:val="18"/>
      <w:szCs w:val="18"/>
    </w:rPr>
  </w:style>
  <w:style w:type="character" w:customStyle="1" w:styleId="24">
    <w:name w:val="页眉 字符"/>
    <w:link w:val="9"/>
    <w:semiHidden/>
    <w:qFormat/>
    <w:uiPriority w:val="99"/>
    <w:rPr>
      <w:kern w:val="2"/>
      <w:sz w:val="18"/>
      <w:szCs w:val="18"/>
    </w:rPr>
  </w:style>
  <w:style w:type="character" w:customStyle="1" w:styleId="25">
    <w:name w:val="正文文本缩进 3 字符"/>
    <w:link w:val="10"/>
    <w:qFormat/>
    <w:uiPriority w:val="99"/>
    <w:rPr>
      <w:rFonts w:ascii="Calibri" w:hAnsi="Calibri" w:cs="Calibri"/>
      <w:kern w:val="2"/>
      <w:sz w:val="16"/>
      <w:szCs w:val="16"/>
    </w:rPr>
  </w:style>
  <w:style w:type="character" w:customStyle="1" w:styleId="26">
    <w:name w:val="批注主题 字符"/>
    <w:link w:val="12"/>
    <w:qFormat/>
    <w:uiPriority w:val="99"/>
    <w:rPr>
      <w:b/>
      <w:bCs/>
      <w:kern w:val="2"/>
      <w:sz w:val="21"/>
      <w:szCs w:val="21"/>
    </w:rPr>
  </w:style>
  <w:style w:type="paragraph" w:customStyle="1" w:styleId="27">
    <w:name w:val="段"/>
    <w:qFormat/>
    <w:uiPriority w:val="0"/>
    <w:pPr>
      <w:autoSpaceDE w:val="0"/>
      <w:autoSpaceDN w:val="0"/>
      <w:ind w:firstLine="420"/>
      <w:jc w:val="both"/>
    </w:pPr>
    <w:rPr>
      <w:rFonts w:ascii="Times New Roman" w:hAnsi="Times New Roman" w:eastAsia="宋体" w:cs="Times New Roman"/>
      <w:color w:val="000000"/>
      <w:lang w:val="en-US" w:eastAsia="zh-CN" w:bidi="ar-SA"/>
    </w:rPr>
  </w:style>
  <w:style w:type="paragraph" w:customStyle="1" w:styleId="28">
    <w:name w:val="列出段落1"/>
    <w:basedOn w:val="1"/>
    <w:qFormat/>
    <w:uiPriority w:val="99"/>
    <w:pPr>
      <w:ind w:firstLine="420" w:firstLineChars="200"/>
    </w:pPr>
    <w:rPr>
      <w:rFonts w:ascii="Calibri" w:hAnsi="Calibri"/>
      <w:szCs w:val="22"/>
    </w:rPr>
  </w:style>
  <w:style w:type="paragraph" w:customStyle="1" w:styleId="29">
    <w:name w:val="列项·"/>
    <w:qFormat/>
    <w:uiPriority w:val="99"/>
    <w:pPr>
      <w:tabs>
        <w:tab w:val="left" w:pos="840"/>
      </w:tabs>
      <w:ind w:left="420"/>
      <w:jc w:val="both"/>
    </w:pPr>
    <w:rPr>
      <w:rFonts w:ascii="宋体" w:hAnsi="Times New Roman" w:eastAsia="宋体" w:cs="宋体"/>
      <w:lang w:val="en-US" w:eastAsia="zh-CN" w:bidi="ar-SA"/>
    </w:rPr>
  </w:style>
  <w:style w:type="paragraph" w:customStyle="1" w:styleId="30">
    <w:name w:val="_Style 29"/>
    <w:semiHidden/>
    <w:uiPriority w:val="99"/>
    <w:rPr>
      <w:rFonts w:ascii="Times New Roman" w:hAnsi="Times New Roman" w:eastAsia="宋体" w:cs="Times New Roman"/>
      <w:kern w:val="2"/>
      <w:sz w:val="21"/>
      <w:szCs w:val="24"/>
      <w:lang w:val="en-US" w:eastAsia="zh-CN" w:bidi="ar-SA"/>
    </w:rPr>
  </w:style>
  <w:style w:type="paragraph" w:customStyle="1" w:styleId="31">
    <w:name w:val="WPS Plain"/>
    <w:qFormat/>
    <w:uiPriority w:val="0"/>
    <w:rPr>
      <w:rFonts w:ascii="Times New Roman" w:hAnsi="Times New Roman" w:eastAsia="宋体" w:cs="Times New Roman"/>
      <w:sz w:val="21"/>
      <w:szCs w:val="22"/>
      <w:lang w:val="en-US" w:eastAsia="zh-CN" w:bidi="ar-SA"/>
    </w:rPr>
  </w:style>
  <w:style w:type="paragraph" w:customStyle="1" w:styleId="32">
    <w:name w:val="二级条标题"/>
    <w:basedOn w:val="1"/>
    <w:next w:val="27"/>
    <w:qFormat/>
    <w:uiPriority w:val="0"/>
    <w:pPr>
      <w:widowControl/>
      <w:tabs>
        <w:tab w:val="left" w:pos="1680"/>
      </w:tabs>
      <w:ind w:left="1680" w:hanging="420"/>
      <w:outlineLvl w:val="3"/>
    </w:pPr>
    <w:rPr>
      <w:rFonts w:ascii="黑体" w:eastAsia="黑体"/>
      <w:kern w:val="0"/>
      <w:szCs w:val="20"/>
    </w:rPr>
  </w:style>
  <w:style w:type="paragraph" w:customStyle="1" w:styleId="33">
    <w:name w:val="二级无标题条"/>
    <w:basedOn w:val="1"/>
    <w:qFormat/>
    <w:uiPriority w:val="0"/>
    <w:rPr>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8</Pages>
  <Words>2825</Words>
  <Characters>4832</Characters>
  <Lines>42</Lines>
  <Paragraphs>11</Paragraphs>
  <TotalTime>2</TotalTime>
  <ScaleCrop>false</ScaleCrop>
  <LinksUpToDate>false</LinksUpToDate>
  <CharactersWithSpaces>4980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2004-08-06T03:45:00Z</dcterms:created>
  <dc:creator>Legend User</dc:creator>
  <cp:lastModifiedBy>木水</cp:lastModifiedBy>
  <cp:lastPrinted>2019-12-05T07:53:00Z</cp:lastPrinted>
  <dcterms:modified xsi:type="dcterms:W3CDTF">2025-05-12T06:20:15Z</dcterms:modified>
  <dc:title>××产品质量监督抽查实施细则</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2357A624668541AF91F8041E45468123_13</vt:lpwstr>
  </property>
</Properties>
</file>